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(GLD), which shows the strongest inverse linkage, with stocks (SPX) also tending to fall when the dollar strengthens. Oil (USO) and broad commodities (COMT) have moved more often in the same direction as the USD, suggesting they have recently traded more like “pro-USD” assets than hedges. The 15D window shows these patterns have intensified for GLD and USO, while the 90D view indicates that these relationships have been present but somewhat milder over a longer horizon. Bitcoin futures exhibit only a weak and unstable connection to the dollar across all windows.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