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Rates correlations: Over the last 30 trading days, US equities have generally moved opposite to 10-year yields, with the Russell 2000 and Financials showing the clearest negative linkage, indicating that higher rates have tended to pressure cyclicals and smaller caps more than the broad market. The S&amp;P 500 and Utilities also show moderate inverse sensitivity to yields, while the Nasdaq 100 is less tightly tied but still leans negatively. Compared with the 90-day window, rate sensitivity has stayed elevated for small caps but eased somewhat for growth-heavy tech, suggesting that recent rate moves have been more tightly reflected in domestically focused and rate-exposed sectors than in large-cap tech.</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