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and bitcoin, both showing clear inverse links to the dollar, with gold the standout and its 15D/90D readings confirming a persistently strong negative relationship. Equities, oil, and broad commodities show only mild day‑to‑day connection to the dollar over 30 days, though the S&amp;P 500 retains a more notable inverse pattern when viewed over 90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