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Rates correlations: Over the last 30 trading days, major equity benchmarks and rate-sensitive sectors have shown broadly negative relationships with the 10-year yield, with the S&amp;P 500 and Russell 2000 both displaying notable downside when yields rise. The Russell 2000 stands out with particularly strong and persistent negative rate sensitivity, as its 15D and 90D correlations remain more negative than those of the S&amp;P 500 or Nasdaq 100, indicating that the influence of rates is relatively concentrated in small caps. Financials and Utilities also lean negatively to yields, but with somewhat milder and less persistent linkage compared with small caps and broad equities.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