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USD correlations: Over the last 30 trading days, USD sensitivity is concentrated in GLD, BTC, and the S&amp;P 500, all showing clear negative correlations, while broad commodities remain relatively insulated from dollar moves. Gold stands out with the strongest and very stable negative linkage to the USD across 15D, 30D, and 90D windows, with Bitcoin and equities also tending to weaken when the dollar strengthens. In contrast, oil and the broad commodity basket show only mild and less consistent positive correlations, suggesting that recent USD shifts have not been the dominant driver for those markets.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