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broad U. S. equities have shown a clear inverse relationship to moves in the 10-year yield, with the Russell 2000 displaying the strongest equity sensitivity to rates and the S&amp;P 500 not far behind. The Nasdaq 100 is also negatively tied to yields, but somewhat less so, suggesting rate moves are meaningful but not the sole driver.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