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(GLD), which shows a strong and stable inverse relationship with the dollar, and in risk assets like the S&amp;P 500 (SPX) and Bitcoin futures that also tend to fall when the USD strengthens. Oil (USO) has moved more in tandem with the dollar, while broad commodities (COMT) show only a mild USD link, suggesting more idiosyncratic drivers there. The 15D vs. 90D patterns indicate that Gold’s negative linkage has intensified recently, whereas Bitcoin’s USD sensitivity has weakened over the longer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