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equity indexes have shown strong negative sensitivity to moves in the 10-year yield, with the Russell 2000 the most rate-sensitive among them and the S&amp;P 500 and Nasdaq 100 not far behind. This points to a broad equity backdrop where rising yields have generally coincided with equity weakness, rather than being confined to a single sector. Financials show a milder, still negative relationship to rates, while Utilities’ weaker 30D linkage but stronger 90D reading suggests their rate sensitivity has been more pronounced over a longer horizon than in the very recent past.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