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Over the last 30 trading days, USD moves have been most tightly linked to gold, with a clearly concentrated negative relationship, while the S&amp;P 500 shows a similar but slightly weaker inverse pattern. Oil and broad commodities have moved in the same direction as the USD, though that positive linkage is more moderate and has been a bit stronger in the very short run than over the 90-day window. Bitcoin’s relationship with the dollar remains negligible, with correlations hovering near zero across all horizons.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