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benchmarks have shown meaningful inverse sensitivity to moves in the 10-year yield, with the Russell 2000 the most rate‑sensitive of the major indices and the S&amp;P 500 not far behind. The Nasdaq 100 and Utilities remain negatively exposed but somewhat less so, while Financials are only moderately tied to rate moves. This pattern suggests that rate sensitivity is spread across cyclicals and defensives, but is more concentrated in small caps than in large-cap growth or sector ETFs.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