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equity (SPX) and gold (GLD) show the clearest inverse linkage to the dollar, with GLD’s correlation especially strong, suggesting USD sensitivity is concentrated in those assets rather than broad across the complex. Bitcoin’s negative correlation to DXY is more moderate and has faded versus the recent 15D window, while broad commodities (COMT) appear relatively insulated from dollar moves. Oil (USO) has stayed modestly positively linked to the USD, with that relationship strengthening when viewed over the full 90D backdrop.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