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 S. equities have been strongly inversely tied to moves in the 10-year yield, with the Russell 2000 showing the most pronounced equity-rate sensitivity and the S&amp;P 500 and Nasdaq 100 not far behind. This means stock returns, especially in small caps, have tended to fall when yields rise and vice versa, and that influence is relatively concentrated in equities rather than sector ETFs.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