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(GLD), which shows the strongest inverse relationship: gold has generally risen when the dollar has fallen, and vice versa, with that pattern strengthening further in the shorter 15-day window. Equities (SPX) also display a clear negative linkage, while oil (USO) and broad commodities (COMT) tend to move in the same direction as the dollar, though less tightly than gold moves opposite it. Bitcoin futures stand out as relatively unlinked to the USD over this period, with correlations hovering near zero across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