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broad U. S. equities have shown pronounced inverse sensitivity to moves in the 10Y yield, with the Russell 2000 the most rate‑sensitive equity index and SPX/NDX also closely tied to rate moves. This points to equity performance being tightly linked to yield declines, especially in smaller caps.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