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meaningful across most assets, with the strongest linkage concentrated in gold, which has moved strongly opposite the dollar and has recently become even more negatively tied. Equities (SPX) also show a firm inverse relationship to the USD, while Bitcoin’s negative linkage is weaker and more volatile over time. In contrast, oil (USO) and broad commodities have been moving with the dollar, with oil showing a steadier positive connection than the broader commodity basket.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