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most pronounced in small caps, with the Russell 2000 showing a relatively strong negative linkage to rising 10Y yields compared with the broader S&amp;P 500 and Nasdaq 100. Large-cap tech, financials, and utilities all show more contained 30-day correlations, implying that day-to-day equity moves in those areas have been less tightly tied to yield shifts. The stronger negative correlations over 90 days for the major indices, especially for small caps, point to rate pressure being more evident over the quarter than in the very recent tape.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