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bitcoin, all showing moderate negative correlations, while oil and broad commodities sit near zero and appear more insulated from dollar swings. Gold has the clearest linkage, moving most reliably opposite the USD, with that pattern also visible—though slightly weaker—over 15D and 90D windows. The S&amp;P 500 and bitcoin share a similar, but somewhat less stable, inverse relationship with the dollar, suggesting risk assets outside commodities have been more tightly aligned with USD moves than the real-asset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