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equities have generally moved opposite 10-year yields, with the Russell 2000 showing the sharpest negative linkage among the major equity indexes, implying small caps have been particularly rate‑sensitive. The S&amp;P 500 and Nasdaq 100 also show meaningful inverse relationships to yields, consistent with broader growth‑oriented exposure being pressured when rates rise. Financials, by contrast, show relatively contained sensitivity over this window, suggesting rate moves have not been the dominant driver for that sector recently. Over 15D and 90D, the pattern broadly holds, with small caps remaining the most consistently exposed to rate shifts among the equity benchmarks.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