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correlations, meaning they have tended to rise when the dollar fell and vice versa. GLD stands out as the strongest USD proxy within the group, with its inverse linkage strengthening recently versus the 90D window. SPX and Bitcoin show a similar, though slightly less intense, pattern of moving against the dollar, while USO and broad commodities have shown only weak and less consistent USD ties, with their 30D correlations hovering near zero.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