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large-cap and growth equities (SPX and NDX) have shown strong negative sensitivity to moves in the 10Y yield, with the Russell 2000 even more tightly linked on the downside, indicating that equities broadly have been moving opposite to rates. This influence is concentrated in the equity complexes, with small caps exhibiting the sharpest rate sensitivity of the group. Financials and Utilities are also negatively correlated to yields but much less so, suggesting their day‑to‑day moves have been only moderately affected compared with the major equity indices. The 15D readings are similarly elevated in magnitude, while the weaker 90D correlations point to this tight rate‑equity linkage being a more recent pattern rather than a persistent one over the last quarter.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