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USD correlations: Over the last 30 trading days, USD moves have shown meaningful linkages across most assets, with sensitivity concentrated in gold, which has a clear inverse pattern (stronger dollar, weaker GLD), and in oil and broad commodities, which have tended to rise alongside the dollar. The S&amp;P 500 has also traded inversely to the USD, though less sharply than gold, while Bitcoin has been relatively contained and loosely tied to dollar moves. Shorter-term (15-day) readings show an even tighter negative linkage for gold and a still-solid positive linkage for oil, while the 90-day window points to generally similar but slightly softer relationships across the complex.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