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Rates correlations: Over the last 30 trading days, rate sensitivity is most pronounced in small caps, with the Russell 2000 showing a clear negative linkage to rising yields, while the S&amp;P 500 and Nasdaq 100 exhibit only mild, contained correlations. The Russell’s consistently stronger negative correlations across 15D and 90D suggest that equity rate sensitivity is concentrated in the smaller-cap segment rather than in large-cap benchmarks. Financials show a weaker and less stable relationship to yields, and Utilities’ recent readings indicate only minimal, directionally mixed rate exposure.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