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moderate negative correlations that imply they tend to rise when the dollar weakens and fall when it strengthens. Gold shows the most consistent linkage, with a firmly negative relationship across 15D, 30D, and 90D windows. SPX and Bitcoin also lean negatively correlated, but with somewhat weaker and less stable ties than gold. In contrast, oil and broad commodities show only mild, shifting correlations, suggesting no stable short-term pattern versus the dollar.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