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major equity indexes have shown broadly negative sensitivity to rising 10Y yields, with the S&amp;P 500 and Russell 2000 moving similarly and the Nasdaq 100 somewhat less tightly linked. The Russell 2000 stands out as the most rate‑sensitive equity benchmark, given its persistently strong negative correlations across 15D, 30D, and especially 90D windows. Sector-wise, Utilities now show rate sensitivity comparable to the broad indexes, while Financials remain negatively linked to yields, suggesting higher rates have not recently provided their typical support to the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