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three assets: GLD, BTC, and the S&amp;P 500, all showing a clear tendency to move opposite the dollar, with gold the most strongly tied. GLD’s consistently strong negative correlation across 15D, 30D, and 90D highlights it as the cleanest inverse USD play in this set, while BTC and SPX also show stable, though slightly weaker, inverse patterns. By contrast, USO and broad commodities have only mild and somewhat unstable correlations with the dollar, suggesting their recent moves have been driven more by asset-specific factors than by USD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