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equities have shown very strong inverse sensitivity to moves in the 10-year yield, with the Russell 2000 and S&amp;P 500 the most tightly linked and the Nasdaq close behind. The Russell 2000’s correlation near -0.09 suggests equity-rate sensitivity is concentrated in small caps, and its 15D reading reinforces that this pattern has intensified recently. Financials are only moderately negatively tied to yields, while Utilities show a weaker but still notable negative relationship that has been more pronounced over the 90D window than in the most recent month.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