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(GLD), which shows the strongest inverse linkage, with SPX also moving notably opposite to the dollar. Oil (USO) and broad commodities (COMT) have moved moderately in the same direction as the USD, suggesting that recent dollar strength has coincided with firmer commodity prices rather than the usual headwind. The 15D window shows these relationships intensifying somewhat (especially for GLD), while the 90D view confirms that these USD linkages have been persistent rather than fleeting. Bitcoin futures, by contrast, have shown little consistent connection to the dollar over any of these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