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equities have leaned meaningfully inverse to yields, with the Russell 2000 showing the strongest equity sensitivity and the Nasdaq 100 somewhat less exposed. The S&amp;P 500’s correlation sits between those two, pointing to a moderate, index‑level drag when rates move higher. Utilities remain steadily rate‑sensitive, while Financials stand out with only a mild and less consistent linkage to yields, leaving most of the equity-rate influence concentrated in small caps and defensives rather than the banks.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