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risk assets and gold, with the S&amp;P 500 and Bitcoin both showing clear inverse moves to the dollar and gold displaying the strongest negative linkage. That means equity, crypto, and gold returns have generally tended to weaken when the dollar strengthens, with this relationship especially pronounced and persistent for gold. Oil and broad commodities, by contrast, show only contained and less reliable day‑to‑day co-movement with the USD, though their longer 90D windows hint at a mild positive tilt for the broader commodity complex.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