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all major equity indices have shown meaningfully negative sensitivity to rising 10-year yields, with rate influence most concentrated in small caps (Russell 2000 at -0.073) and then the S&amp;P 500. The Nasdaq 100 is similarly negatively linked to yields, though a bit less than small caps, while Financials and Utilities are only moderately tied to rates in this window. The 15-day and 90-day views are broadly consistent, suggesting that this inverse equity–rates relationship has been both persistent and reasonably stable across recent months.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