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tightly linked to gold, with a strong inverse relationship that has intensified recently, while the S&amp;P 500 and Bitcoin also show notable but somewhat less pronounced negative sensitivity. Oil stands out as the main asset moving with the dollar, and its positive linkage has been relatively stable across the 15D, 30D, and 90D windows. Broad commodities show only a mild and more contained connection to USD, suggesting that the influence of the dollar is concentrated in specific assets rather than spread evenly across the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