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returns have been modestly negatively linked to moves in the 10-year yield, with the Russell 2000 showing the clearest equity-rate sensitivity and the Nasdaq 100 and Utilities showing comparatively contained reactions. The Russell 2000’s consistently more negative readings across 15D, 30D, and 90D suggest that smaller-cap stocks have been the most exposed to rate moves in this set. Financials’ correlation has recently moderated versus the very negative 15D print, while Utilities’ slight positive 30D link contrasts with its mildly negative 90D backdrop, indicating that rate sensitivity there has been more unstable and less concentrated.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