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where returns have moved clearly in the opposite direction of the dollar, and this inverse link looks even stronger when viewed over the last 90 days. Equities and Bitcoin have shown a milder tendency to weaken when the USD strengthens, but the relationship has softened recently versus the longer 90-day window. Oil and broad commodities have stayed relatively insulated from day-to-day USD moves, with near-zero 30-day correlations that contrast with their modest positive linkage over 90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