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large-cap U. S. equities (SPX) show the clearest equity sensitivity to moves in the 10-year yield, with a fairly strong negative linkage and similar, slightly more extreme readings over 15 days pointing to recently elevated rate sensitivity. The Nasdaq 100 and Russell 2000 also trade inversely with yields, but a bit less tightly than the S&amp;P, suggesting broader equity rate sensitivity rather than it being concentrated in a single style or size segment.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