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all tracked assets show a meaningful link to the dollar, with the strongest and most stable sensitivity concentrated in gold, which has moved consistently in the opposite direction of DXY. Equities (SPX) also show a notable inverse relationship that has intensified over the past 15 days, while oil and broad commodities have tended to rise with a stronger dollar. Bitcoin’s 30-day negative correlation is weaker and less stable, with its very low 15-day reading suggesting a more erratic short-term connection to USD moves.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