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equities and defensives have shown broadly negative sensitivity to moves in the 10-year yield, with the S&amp;P 500, Nasdaq 100, Russell 2000, and Utilities all weakening when yields rise. Among major equity indexes, rate influence is most concentrated in the S&amp;P 500 and Utilities, which currently share the strongest negative stock‑index/sector linkage to yields. The Russell 2000’s 30-day correlation is moderately negative but sits between a very rate‑sensitive 90-day backdrop and a sharper short-term 15-day reading, suggesting its sensitivity has remained elevated but somewhat variable. Financials are still negatively tied to yields, but meaningfully less so than the broad equity benchmarks and rate‑sensitive defensives.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