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USD correlations: Over the last 30 trading days, USD sensitivity is concentrated in GLD, BTC, and SPX, all showing moderately negative correlations, meaning they have generally moved in the opposite direction of the dollar. Gold stands out with the strongest and very stable inverse linkage across 15D, 30D, and 90D windows, while Bitcoin and the S&amp;P 500 also show consistent, though slightly weaker, inverse patterns. In contrast, USO and broad commodities exhibit contained and near-zero correlations to the USD, indicating little systematic co-movement with dollar moves over these horizons.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