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rate sensitivity is concentrated in small caps, with the Russell 2000 showing a notably strong negative linkage to yields, while the S&amp;P 500 and Financials also move meaningfully opposite to rate changes. The Nasdaq 100 and Utilities have shown only contained 30-day sensitivity, suggesting their recent day‑to‑day moves have been less tightly tied to yield fluctuations. Compared with the 90-day window, most equities still exhibit a broadly negative relationship with rates, but the 30-day pattern points to somewhat uneven and segment-specific rate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