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sensitivities are concentrated in Gold (GLD) and Bitcoin futures, both showing moderately negative correlations, with GLD the standout and its inverse linkage stable to slightly stronger over 15D and 90D windows. The S&amp;P 500 also leans negatively correlated to the dollar, but more mildly and with a weaker, shorter-term signal. In contrast, oil (USO) and broad commodities (COMT) show only contained, low-grade positive correlations to the USD, suggesting relatively limited dollar-driven moves in those segments recently.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