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US equities have shown strong negative sensitivity to moves in the 10Y yield, with the Russell 2000 the most rate‑sensitive of the major equity benchmarks and the S&amp;P 500 and Nasdaq 100 not far behind. The pattern over 15D and 90D windows is consistent with this equity‑rates linkage, though the 90D correlations are somewhat less extreme, suggesting the recent rate sensitivity has intensified. Financials are modestly negatively tied to yields, while Utilities stand out with comparatively contained 30D rate sensitivity, despite a much stronger negative relationship over the 90D horizon.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