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most major assets show a meaningful link to the dollar, with risk assets like the S&amp;P 500 tending to fall when the USD strengthens, while oil and broad commodities generally rise alongside it. The USD relationship is concentrated in Gold Trust (GLD), which has the strongest and consistently negative correlation, indicating that gold has been the most sensitive counter-move to dollar swings across 15D, 30D, and 90D windows. Bitcoin futures, by contrast, have shown little consistent connection to the USD over any horizon, suggesting it has been trading largely on its own drivers rather than dollar moves.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