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 S. equities have moved strongly opposite 10-year yields, with the S&amp;P 500 and Nasdaq 100 showing notably negative rate sensitivity and the Russell 2000 displaying the most acute equity response. That influence is concentrated in broad equity risk, while Financials show only a moderate negative linkage to yields despite their sectoral ties to interest 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