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which shows the strongest inverse relationship to the dollar, with SPX also moving notably opposite to DXY and reinforcing an equity–gold “short USD” profile. USO and broad commodities tend to rise with a stronger dollar in this window, suggesting that recent commodity moves have leaned more with, rather than against, USD strength. Compared with the 90-day window, these linkages have generally intensified, especially for GLD and SPX, while Bitcoin’s correlation remains contained and close to zero across all horizons.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