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equity benchmarks have moved notably opposite to 10-year yields, with the S&amp;P 500 and Nasdaq 100 showing strong negative rate sensitivity and the Russell 2000 the most exposed among equities. The 15-day window shows this equity-rate linkage remaining very tight, while the 90-day view suggests the current sensitivity is elevated versus its more moderate longer-run relationship. Financials are moderately tied to yields but less so than the major indexes, and Utilities stand out with contained 30-day rate sensitivity despite a more pronounced negative relationship over 90 days.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