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meaningful across most assets, with the strongest and most stable linkage concentrated in gold (GLD), which tends to move in the opposite direction of the dollar. Equities (SPX) also show a moderate negative relationship to the USD, while oil (USO) and broad commodities (COMT) have moved more in sync with the stronger dollar, suggesting cyclical assets have been more dollar-aligned. Bitcoin’s (BTC) USD linkage is weaker and has fluctuated, with only a modest inverse relationship showing up over 30 and 90 days.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