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all major equity indices have shown strong negative sensitivity to moves in the 10‑year yield, with the Russell 2000 most tightly linked, followed by the S&amp;P 500 and Nasdaq 100. This suggests that recent equity performance has been heavily influenced by rate moves, with selling pressure tending to accompany yield increases across both large-cap and small-cap benchmarks. Sector-wise, Financials and Utilities are also negatively aligned with yields, but less tightly than the broad indices, indicating that rate influence is more concentrated in the index-level moves than in these sectors.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