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which shows the strongest inverse relationship, with stocks also moving notably opposite the dollar while oil and broad commodities have tended to rise when the dollar strengthens. The short-term window shows this pattern intensifying for Gold and moderating slightly for equities, while the 90-day view suggests these linkages have built over time rather than appearing abruptly. Bitcoin stands out as largely detached from recent dollar moves, with correlations hovering near zero in the near term.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