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benchmarks show moderate negative sensitivity to moves in the 10-year yield, with that rate impact most acute in small caps, where correlations are strongly negative and fairly stable across 15D and 90D windows. The S&amp;P 500 and Nasdaq 100 are less tightly linked to yields, and their 30D readings sit between the milder recent 15D snapshots and the more rate‑sensitive 90D backdrop. Financials are also trading with a clear negative tilt to yields on a 30D view, while Utilities stand out for having a mildly positive 30D correlation that contrasts with their modestly negative 15D and 90D relationships.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