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gold and bitcoin, both showing moderately negative correlations that imply they have tended to rise when the dollar falls and vice versa. The S&amp;P 500 also leans negatively correlated to the USD, but less consistently than gold and bitcoin. Oil and broad commodities show only mild, contained connections to the dollar, suggesting their recent moves have been driven more by idiosyncratic or sector-specific forces than by USD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