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indexes have generally moved opposite to yields, with the Russell 2000 showing the most pronounced downside sensitivity to rising rates and the Nasdaq 100 somewhat less exposed. The S&amp;P 500 sits in between, and its negative correlation has strengthened versus the 15-day window, pointing to increasingly broad rate sensitivity across large caps. Utilities remain negatively linked to yields but less tightly than small caps, while Financials now show only a weak relationship, leaving rate influence relatively concentrated in the broad equity indices rather than sector extremes.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